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26 </w:t>
      </w:r>
      <w:r w:rsidR="00A6516D">
        <w:rPr>
          <w:rFonts w:eastAsia="Calibri"/>
          <w:szCs w:val="28"/>
        </w:rPr>
        <w:t>марта</w:t>
      </w:r>
      <w:r w:rsidR="000B4F19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9E17DA" w:rsidRDefault="009E17DA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758-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4D2872" w:rsidRDefault="004D2872" w:rsidP="004D2872">
      <w:pPr>
        <w:tabs>
          <w:tab w:val="left" w:pos="3686"/>
        </w:tabs>
        <w:ind w:right="6235"/>
        <w:rPr>
          <w:rFonts w:eastAsia="Calibri" w:cs="Times New Roman"/>
          <w:szCs w:val="28"/>
        </w:rPr>
      </w:pPr>
    </w:p>
    <w:p w:rsidR="004D2872" w:rsidRPr="004D2872" w:rsidRDefault="004D2872" w:rsidP="004D2872">
      <w:pPr>
        <w:tabs>
          <w:tab w:val="left" w:pos="3686"/>
        </w:tabs>
        <w:ind w:right="6235"/>
        <w:rPr>
          <w:rFonts w:eastAsia="Calibri" w:cs="Times New Roman"/>
          <w:szCs w:val="28"/>
        </w:rPr>
      </w:pPr>
      <w:r w:rsidRPr="004D2872">
        <w:rPr>
          <w:rFonts w:eastAsia="Calibri" w:cs="Times New Roman"/>
          <w:szCs w:val="28"/>
        </w:rPr>
        <w:t>О снятии с контроля решений Думы города</w:t>
      </w:r>
    </w:p>
    <w:p w:rsidR="004D2872" w:rsidRPr="004D2872" w:rsidRDefault="004D2872" w:rsidP="004D2872">
      <w:pPr>
        <w:ind w:right="5102"/>
        <w:rPr>
          <w:rFonts w:eastAsia="Calibri" w:cs="Times New Roman"/>
          <w:szCs w:val="28"/>
        </w:rPr>
      </w:pPr>
    </w:p>
    <w:p w:rsidR="004D2872" w:rsidRPr="004D2872" w:rsidRDefault="004D2872" w:rsidP="004D2872">
      <w:pPr>
        <w:ind w:right="-1" w:firstLine="709"/>
        <w:rPr>
          <w:rFonts w:eastAsia="Calibri" w:cs="Times New Roman"/>
          <w:szCs w:val="28"/>
          <w:highlight w:val="yellow"/>
        </w:rPr>
      </w:pPr>
      <w:r w:rsidRPr="004D2872">
        <w:rPr>
          <w:rFonts w:eastAsia="Calibri" w:cs="Times New Roman"/>
          <w:szCs w:val="28"/>
        </w:rPr>
        <w:t>В соответствии со статьёй 49 Регламента Думы города Сургута, утверждённого решением Думы города от 27.04.2006 № 10-</w:t>
      </w:r>
      <w:r w:rsidRPr="004D2872">
        <w:rPr>
          <w:rFonts w:eastAsia="Calibri" w:cs="Times New Roman"/>
          <w:szCs w:val="28"/>
          <w:lang w:val="en-US"/>
        </w:rPr>
        <w:t>IV</w:t>
      </w:r>
      <w:r w:rsidRPr="004D2872">
        <w:rPr>
          <w:rFonts w:eastAsia="Calibri" w:cs="Times New Roman"/>
          <w:szCs w:val="28"/>
        </w:rPr>
        <w:t xml:space="preserve"> ДГ, </w:t>
      </w:r>
      <w:r w:rsidRPr="004D2872">
        <w:rPr>
          <w:rFonts w:eastAsia="Calibri" w:cs="Times New Roman"/>
          <w:szCs w:val="28"/>
        </w:rPr>
        <w:br/>
        <w:t xml:space="preserve">на основании информации о выполнении решений Думы города </w:t>
      </w:r>
      <w:r w:rsidRPr="004D2872">
        <w:rPr>
          <w:rFonts w:eastAsia="Calibri" w:cs="Times New Roman"/>
          <w:szCs w:val="28"/>
        </w:rPr>
        <w:br/>
      </w:r>
      <w:r w:rsidRPr="004D2872">
        <w:rPr>
          <w:rFonts w:eastAsia="Calibri" w:cs="Times New Roman"/>
          <w:szCs w:val="28"/>
          <w:lang w:val="en-US"/>
        </w:rPr>
        <w:t>VI</w:t>
      </w:r>
      <w:r w:rsidRPr="004D2872">
        <w:rPr>
          <w:rFonts w:eastAsia="Calibri" w:cs="Times New Roman"/>
          <w:szCs w:val="28"/>
        </w:rPr>
        <w:t xml:space="preserve">, </w:t>
      </w:r>
      <w:r w:rsidRPr="004D2872">
        <w:rPr>
          <w:rFonts w:eastAsia="Calibri" w:cs="Times New Roman"/>
          <w:szCs w:val="28"/>
          <w:lang w:val="en-US"/>
        </w:rPr>
        <w:t>VII</w:t>
      </w:r>
      <w:r w:rsidRPr="004D2872">
        <w:rPr>
          <w:rFonts w:eastAsia="Calibri" w:cs="Times New Roman"/>
          <w:szCs w:val="28"/>
        </w:rPr>
        <w:t xml:space="preserve"> созывов Дума города РЕШИЛА:</w:t>
      </w:r>
    </w:p>
    <w:p w:rsidR="004D2872" w:rsidRPr="004D2872" w:rsidRDefault="004D2872" w:rsidP="004D2872">
      <w:pPr>
        <w:ind w:right="-1" w:firstLine="709"/>
        <w:rPr>
          <w:rFonts w:eastAsia="Calibri" w:cs="Times New Roman"/>
          <w:szCs w:val="28"/>
          <w:highlight w:val="yellow"/>
        </w:rPr>
      </w:pPr>
    </w:p>
    <w:p w:rsidR="004D2872" w:rsidRPr="004D2872" w:rsidRDefault="004D2872" w:rsidP="004D2872">
      <w:pPr>
        <w:spacing w:line="240" w:lineRule="atLeast"/>
        <w:ind w:right="-1" w:firstLine="709"/>
        <w:rPr>
          <w:rFonts w:eastAsia="Calibri" w:cs="Times New Roman"/>
          <w:szCs w:val="28"/>
        </w:rPr>
      </w:pPr>
      <w:r w:rsidRPr="004D2872">
        <w:rPr>
          <w:rFonts w:eastAsia="Calibri" w:cs="Times New Roman"/>
          <w:szCs w:val="28"/>
        </w:rPr>
        <w:t>Снять с контроля следующие решения Думы города: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Times New Roman" w:cs="Times New Roman"/>
          <w:bCs/>
          <w:szCs w:val="28"/>
          <w:lang w:eastAsia="ru-RU"/>
        </w:rPr>
      </w:pPr>
      <w:r w:rsidRPr="004D2872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  <w:t xml:space="preserve"> </w:t>
      </w:r>
      <w:r w:rsidRPr="004D2872">
        <w:rPr>
          <w:rFonts w:eastAsia="Times New Roman" w:cs="Times New Roman"/>
          <w:bCs/>
          <w:szCs w:val="28"/>
          <w:lang w:eastAsia="ru-RU"/>
        </w:rPr>
        <w:t>от 22.11.2018 № 351-</w:t>
      </w:r>
      <w:r w:rsidRPr="004D2872">
        <w:rPr>
          <w:rFonts w:eastAsia="Times New Roman" w:cs="Times New Roman"/>
          <w:bCs/>
          <w:szCs w:val="28"/>
          <w:lang w:val="en-US" w:eastAsia="ru-RU"/>
        </w:rPr>
        <w:t>VI</w:t>
      </w:r>
      <w:r w:rsidRPr="004D2872">
        <w:rPr>
          <w:rFonts w:eastAsia="Times New Roman" w:cs="Times New Roman"/>
          <w:bCs/>
          <w:szCs w:val="28"/>
          <w:lang w:eastAsia="ru-RU"/>
        </w:rPr>
        <w:t xml:space="preserve"> ДГ</w:t>
      </w:r>
      <w:r w:rsidRPr="004D2872">
        <w:rPr>
          <w:rFonts w:eastAsia="Times New Roman" w:cs="Times New Roman"/>
          <w:szCs w:val="28"/>
          <w:lang w:eastAsia="ru-RU"/>
        </w:rPr>
        <w:t xml:space="preserve"> «</w:t>
      </w:r>
      <w:r w:rsidRPr="004D2872">
        <w:rPr>
          <w:rFonts w:eastAsia="Times New Roman" w:cs="Times New Roman"/>
          <w:bCs/>
          <w:szCs w:val="28"/>
          <w:lang w:eastAsia="ru-RU"/>
        </w:rPr>
        <w:t xml:space="preserve">Об условиях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(встроенно-пристроенное нежилое помещение, расположенное по адресу: г. Сургут, </w:t>
      </w:r>
      <w:proofErr w:type="spellStart"/>
      <w:r w:rsidRPr="004D2872">
        <w:rPr>
          <w:rFonts w:eastAsia="Times New Roman" w:cs="Times New Roman"/>
          <w:bCs/>
          <w:szCs w:val="28"/>
          <w:lang w:eastAsia="ru-RU"/>
        </w:rPr>
        <w:t>пр-кт</w:t>
      </w:r>
      <w:proofErr w:type="spellEnd"/>
      <w:r w:rsidRPr="004D2872">
        <w:rPr>
          <w:rFonts w:eastAsia="Times New Roman" w:cs="Times New Roman"/>
          <w:bCs/>
          <w:szCs w:val="28"/>
          <w:lang w:eastAsia="ru-RU"/>
        </w:rPr>
        <w:t>. Пролетарский, д. 18)»;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Times New Roman" w:cs="Times New Roman"/>
          <w:bCs/>
          <w:szCs w:val="28"/>
          <w:lang w:eastAsia="ru-RU"/>
        </w:rPr>
      </w:pPr>
      <w:r w:rsidRPr="004D2872">
        <w:rPr>
          <w:rFonts w:eastAsia="Times New Roman" w:cs="Times New Roman"/>
          <w:bCs/>
          <w:szCs w:val="28"/>
          <w:lang w:eastAsia="ru-RU"/>
        </w:rPr>
        <w:t>2)</w:t>
      </w:r>
      <w:r>
        <w:rPr>
          <w:rFonts w:eastAsia="Times New Roman" w:cs="Times New Roman"/>
          <w:bCs/>
          <w:szCs w:val="28"/>
          <w:lang w:eastAsia="ru-RU"/>
        </w:rPr>
        <w:tab/>
        <w:t xml:space="preserve"> </w:t>
      </w:r>
      <w:r w:rsidRPr="004D2872">
        <w:rPr>
          <w:rFonts w:eastAsia="Times New Roman" w:cs="Times New Roman"/>
          <w:bCs/>
          <w:szCs w:val="28"/>
          <w:lang w:eastAsia="ru-RU"/>
        </w:rPr>
        <w:t>от 01.11.2019 № 491-VI ДГ</w:t>
      </w:r>
      <w:r w:rsidRPr="004D2872">
        <w:rPr>
          <w:rFonts w:eastAsia="Times New Roman" w:cs="Times New Roman"/>
          <w:szCs w:val="28"/>
          <w:lang w:eastAsia="ru-RU"/>
        </w:rPr>
        <w:t xml:space="preserve"> «</w:t>
      </w:r>
      <w:r w:rsidRPr="004D2872">
        <w:rPr>
          <w:rFonts w:eastAsia="Times New Roman" w:cs="Times New Roman"/>
          <w:bCs/>
          <w:szCs w:val="28"/>
          <w:lang w:eastAsia="ru-RU"/>
        </w:rPr>
        <w:t xml:space="preserve">Об условиях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</w:t>
      </w:r>
      <w:r w:rsidRPr="004D2872">
        <w:rPr>
          <w:rFonts w:eastAsia="Times New Roman" w:cs="Times New Roman"/>
          <w:bCs/>
          <w:szCs w:val="28"/>
          <w:lang w:val="x-none" w:eastAsia="ru-RU"/>
        </w:rPr>
        <w:t xml:space="preserve">(помещение, расположенное по адресу: г. Сургут, </w:t>
      </w:r>
      <w:r w:rsidR="001151F0">
        <w:rPr>
          <w:rFonts w:eastAsia="Times New Roman" w:cs="Times New Roman"/>
          <w:bCs/>
          <w:szCs w:val="28"/>
          <w:lang w:val="x-none" w:eastAsia="ru-RU"/>
        </w:rPr>
        <w:br/>
      </w:r>
      <w:r w:rsidRPr="004D2872">
        <w:rPr>
          <w:rFonts w:eastAsia="Times New Roman" w:cs="Times New Roman"/>
          <w:bCs/>
          <w:szCs w:val="28"/>
          <w:lang w:val="x-none" w:eastAsia="ru-RU"/>
        </w:rPr>
        <w:t xml:space="preserve">ул. </w:t>
      </w:r>
      <w:r w:rsidRPr="004D2872">
        <w:rPr>
          <w:rFonts w:eastAsia="Times New Roman" w:cs="Times New Roman"/>
          <w:bCs/>
          <w:szCs w:val="28"/>
          <w:lang w:eastAsia="ru-RU"/>
        </w:rPr>
        <w:t>Майская</w:t>
      </w:r>
      <w:r w:rsidRPr="004D2872">
        <w:rPr>
          <w:rFonts w:eastAsia="Times New Roman" w:cs="Times New Roman"/>
          <w:bCs/>
          <w:szCs w:val="28"/>
          <w:lang w:val="x-none" w:eastAsia="ru-RU"/>
        </w:rPr>
        <w:t>, д. 1</w:t>
      </w:r>
      <w:r w:rsidRPr="004D2872">
        <w:rPr>
          <w:rFonts w:eastAsia="Times New Roman" w:cs="Times New Roman"/>
          <w:bCs/>
          <w:szCs w:val="28"/>
          <w:lang w:eastAsia="ru-RU"/>
        </w:rPr>
        <w:t>3/1</w:t>
      </w:r>
      <w:r w:rsidRPr="004D2872">
        <w:rPr>
          <w:rFonts w:eastAsia="Times New Roman" w:cs="Times New Roman"/>
          <w:bCs/>
          <w:szCs w:val="28"/>
          <w:lang w:val="x-none" w:eastAsia="ru-RU"/>
        </w:rPr>
        <w:t>)</w:t>
      </w:r>
      <w:r w:rsidRPr="004D2872">
        <w:rPr>
          <w:rFonts w:eastAsia="Times New Roman" w:cs="Times New Roman"/>
          <w:bCs/>
          <w:szCs w:val="28"/>
          <w:lang w:eastAsia="ru-RU"/>
        </w:rPr>
        <w:t>»;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  <w:r w:rsidRPr="004D2872">
        <w:rPr>
          <w:rFonts w:eastAsia="Times New Roman" w:cs="Times New Roman"/>
          <w:bCs/>
          <w:szCs w:val="28"/>
          <w:lang w:eastAsia="ru-RU"/>
        </w:rPr>
        <w:t>3)</w:t>
      </w:r>
      <w:r>
        <w:rPr>
          <w:rFonts w:eastAsia="Times New Roman" w:cs="Times New Roman"/>
          <w:bCs/>
          <w:szCs w:val="28"/>
          <w:lang w:eastAsia="ru-RU"/>
        </w:rPr>
        <w:tab/>
        <w:t xml:space="preserve"> </w:t>
      </w:r>
      <w:r w:rsidRPr="004D2872">
        <w:rPr>
          <w:rFonts w:eastAsia="Calibri" w:cs="Times New Roman"/>
          <w:color w:val="000000"/>
          <w:szCs w:val="28"/>
        </w:rPr>
        <w:t>от 01.04.2024</w:t>
      </w:r>
      <w:r w:rsidRPr="004D2872"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872">
        <w:rPr>
          <w:rFonts w:eastAsia="Calibri" w:cs="Times New Roman"/>
          <w:color w:val="000000"/>
          <w:szCs w:val="28"/>
        </w:rPr>
        <w:t>№ 531-VII ДГ</w:t>
      </w:r>
      <w:r w:rsidRPr="004D2872">
        <w:rPr>
          <w:rFonts w:eastAsia="Times New Roman" w:cs="Times New Roman"/>
          <w:bCs/>
          <w:szCs w:val="28"/>
          <w:lang w:eastAsia="ru-RU"/>
        </w:rPr>
        <w:t xml:space="preserve"> «О дополнительной мере социальной поддержки за счёт средств местного бюджета</w:t>
      </w:r>
      <w:r w:rsidRPr="004D2872">
        <w:rPr>
          <w:rFonts w:eastAsia="Calibri" w:cs="Times New Roman"/>
          <w:bCs/>
          <w:color w:val="000000"/>
          <w:szCs w:val="28"/>
        </w:rPr>
        <w:t>»;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  <w:r w:rsidRPr="004D2872">
        <w:rPr>
          <w:rFonts w:eastAsia="Calibri" w:cs="Times New Roman"/>
          <w:bCs/>
          <w:color w:val="000000"/>
          <w:szCs w:val="28"/>
        </w:rPr>
        <w:t>4)</w:t>
      </w:r>
      <w:r>
        <w:rPr>
          <w:rFonts w:eastAsia="Calibri" w:cs="Times New Roman"/>
          <w:bCs/>
          <w:color w:val="000000"/>
          <w:szCs w:val="28"/>
        </w:rPr>
        <w:tab/>
        <w:t xml:space="preserve"> </w:t>
      </w:r>
      <w:r w:rsidRPr="004D2872">
        <w:rPr>
          <w:rFonts w:eastAsia="Calibri" w:cs="Times New Roman"/>
          <w:color w:val="000000"/>
          <w:szCs w:val="28"/>
        </w:rPr>
        <w:t>от 21.06.2024</w:t>
      </w:r>
      <w:r w:rsidRPr="004D2872"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872">
        <w:rPr>
          <w:rFonts w:eastAsia="Calibri" w:cs="Times New Roman"/>
          <w:color w:val="000000"/>
          <w:szCs w:val="28"/>
        </w:rPr>
        <w:t>№ 600-VII  ДГ</w:t>
      </w:r>
      <w:r w:rsidRPr="004D2872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4D2872">
        <w:rPr>
          <w:rFonts w:eastAsia="Calibri" w:cs="Times New Roman"/>
          <w:bCs/>
          <w:color w:val="000000"/>
          <w:szCs w:val="28"/>
        </w:rPr>
        <w:t xml:space="preserve">О плане работы Думы города </w:t>
      </w:r>
      <w:r w:rsidRPr="004D2872">
        <w:rPr>
          <w:rFonts w:eastAsia="Calibri" w:cs="Times New Roman"/>
          <w:bCs/>
          <w:color w:val="000000"/>
          <w:szCs w:val="28"/>
        </w:rPr>
        <w:br/>
        <w:t xml:space="preserve">на </w:t>
      </w:r>
      <w:r w:rsidRPr="004D2872">
        <w:rPr>
          <w:rFonts w:eastAsia="Calibri" w:cs="Times New Roman"/>
          <w:bCs/>
          <w:color w:val="000000"/>
          <w:szCs w:val="28"/>
          <w:lang w:val="en-US"/>
        </w:rPr>
        <w:t>II</w:t>
      </w:r>
      <w:r w:rsidRPr="004D2872">
        <w:rPr>
          <w:rFonts w:eastAsia="Calibri" w:cs="Times New Roman"/>
          <w:bCs/>
          <w:color w:val="000000"/>
          <w:szCs w:val="28"/>
        </w:rPr>
        <w:t xml:space="preserve"> полугодие 2024 года»;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  <w:r w:rsidRPr="004D2872">
        <w:rPr>
          <w:rFonts w:eastAsia="Calibri" w:cs="Times New Roman"/>
          <w:bCs/>
          <w:color w:val="000000"/>
          <w:szCs w:val="28"/>
        </w:rPr>
        <w:t>5)</w:t>
      </w:r>
      <w:r>
        <w:rPr>
          <w:rFonts w:eastAsia="Calibri" w:cs="Times New Roman"/>
          <w:bCs/>
          <w:color w:val="000000"/>
          <w:szCs w:val="28"/>
        </w:rPr>
        <w:tab/>
        <w:t xml:space="preserve"> </w:t>
      </w:r>
      <w:r w:rsidRPr="004D2872">
        <w:rPr>
          <w:rFonts w:eastAsia="Calibri" w:cs="Times New Roman"/>
          <w:bCs/>
          <w:color w:val="000000"/>
          <w:szCs w:val="28"/>
        </w:rPr>
        <w:t>от 05.07.2024 № 635-VII ДГ «О пожертвовании муниципального движимого имущества»;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  <w:r w:rsidRPr="004D2872">
        <w:rPr>
          <w:rFonts w:eastAsia="Calibri" w:cs="Times New Roman"/>
          <w:bCs/>
          <w:color w:val="000000"/>
          <w:szCs w:val="28"/>
        </w:rPr>
        <w:t>6)</w:t>
      </w:r>
      <w:r>
        <w:rPr>
          <w:rFonts w:eastAsia="Calibri" w:cs="Times New Roman"/>
          <w:bCs/>
          <w:color w:val="000000"/>
          <w:szCs w:val="28"/>
        </w:rPr>
        <w:tab/>
        <w:t xml:space="preserve"> </w:t>
      </w:r>
      <w:r w:rsidRPr="004D2872">
        <w:rPr>
          <w:rFonts w:eastAsia="Calibri" w:cs="Times New Roman"/>
          <w:bCs/>
          <w:color w:val="000000"/>
          <w:szCs w:val="28"/>
        </w:rPr>
        <w:t xml:space="preserve">от 25.09.2024 № 653-VII ДГ «Об условиях приватизации муниципального имущества (встроено-пристроенное нежилое помещение, расположенное по адресу: Ханты-Мансийский автономный округ – Югра, город Сургут, поселок Кедровый, дом 13, </w:t>
      </w:r>
      <w:proofErr w:type="spellStart"/>
      <w:r w:rsidRPr="004D2872">
        <w:rPr>
          <w:rFonts w:eastAsia="Calibri" w:cs="Times New Roman"/>
          <w:bCs/>
          <w:color w:val="000000"/>
          <w:szCs w:val="28"/>
        </w:rPr>
        <w:t>промзона</w:t>
      </w:r>
      <w:proofErr w:type="spellEnd"/>
      <w:r w:rsidRPr="004D2872">
        <w:rPr>
          <w:rFonts w:eastAsia="Calibri" w:cs="Times New Roman"/>
          <w:bCs/>
          <w:color w:val="000000"/>
          <w:szCs w:val="28"/>
        </w:rPr>
        <w:t xml:space="preserve"> ГРЭС-2)»;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  <w:r w:rsidRPr="004D2872">
        <w:rPr>
          <w:rFonts w:eastAsia="Calibri" w:cs="Times New Roman"/>
          <w:bCs/>
          <w:color w:val="000000"/>
          <w:szCs w:val="28"/>
        </w:rPr>
        <w:t>7)</w:t>
      </w:r>
      <w:r>
        <w:rPr>
          <w:rFonts w:eastAsia="Calibri" w:cs="Times New Roman"/>
          <w:bCs/>
          <w:color w:val="000000"/>
          <w:szCs w:val="28"/>
        </w:rPr>
        <w:tab/>
        <w:t xml:space="preserve"> </w:t>
      </w:r>
      <w:r w:rsidRPr="004D2872">
        <w:rPr>
          <w:rFonts w:eastAsia="Calibri" w:cs="Times New Roman"/>
          <w:bCs/>
          <w:color w:val="000000"/>
          <w:szCs w:val="28"/>
        </w:rPr>
        <w:t xml:space="preserve">от 25.09.2024 № 654-VII ДГ «Об условиях приватизации муниципального имущества (объекты муниципальной собственности: земельный участок по адресу: Ханты-Мансийский автономный округ – Югра, </w:t>
      </w:r>
      <w:r w:rsidRPr="004D2872">
        <w:rPr>
          <w:rFonts w:eastAsia="Calibri" w:cs="Times New Roman"/>
          <w:bCs/>
          <w:color w:val="000000"/>
          <w:szCs w:val="28"/>
        </w:rPr>
        <w:lastRenderedPageBreak/>
        <w:t xml:space="preserve">г. Сургут, Северный промрайон, ул. Аграрная, 1 с расположенными </w:t>
      </w:r>
      <w:r w:rsidR="001151F0">
        <w:rPr>
          <w:rFonts w:eastAsia="Calibri" w:cs="Times New Roman"/>
          <w:bCs/>
          <w:color w:val="000000"/>
          <w:szCs w:val="28"/>
        </w:rPr>
        <w:br/>
      </w:r>
      <w:r w:rsidRPr="004D2872">
        <w:rPr>
          <w:rFonts w:eastAsia="Calibri" w:cs="Times New Roman"/>
          <w:bCs/>
          <w:color w:val="000000"/>
          <w:szCs w:val="28"/>
        </w:rPr>
        <w:t>на нём объектами недвижимого и движимого имущества)»;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  <w:r w:rsidRPr="004D2872">
        <w:rPr>
          <w:rFonts w:eastAsia="Calibri" w:cs="Times New Roman"/>
          <w:bCs/>
          <w:color w:val="000000"/>
          <w:szCs w:val="28"/>
        </w:rPr>
        <w:t>8)</w:t>
      </w:r>
      <w:r>
        <w:rPr>
          <w:rFonts w:eastAsia="Calibri" w:cs="Times New Roman"/>
          <w:bCs/>
          <w:color w:val="000000"/>
          <w:szCs w:val="28"/>
        </w:rPr>
        <w:tab/>
        <w:t xml:space="preserve"> </w:t>
      </w:r>
      <w:r w:rsidRPr="004D2872">
        <w:rPr>
          <w:rFonts w:eastAsia="Calibri" w:cs="Times New Roman"/>
          <w:bCs/>
          <w:color w:val="000000"/>
          <w:szCs w:val="28"/>
        </w:rPr>
        <w:t xml:space="preserve">от 30.09.2024 № 661-VII ДГ «О назначении публичных слушаний </w:t>
      </w:r>
      <w:r w:rsidRPr="004D2872">
        <w:rPr>
          <w:rFonts w:eastAsia="Calibri" w:cs="Times New Roman"/>
          <w:bCs/>
          <w:color w:val="000000"/>
          <w:szCs w:val="28"/>
        </w:rPr>
        <w:br/>
        <w:t>по проекту решения Думы города «О внесении изменений в Устав муниципального образования городской округ Сургут Ханты-Мансийского автономного округа – Югры»;</w:t>
      </w:r>
    </w:p>
    <w:p w:rsidR="004D2872" w:rsidRPr="004D2872" w:rsidRDefault="004D2872" w:rsidP="004D2872">
      <w:pPr>
        <w:tabs>
          <w:tab w:val="left" w:pos="993"/>
        </w:tabs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  <w:r w:rsidRPr="004D2872">
        <w:rPr>
          <w:rFonts w:eastAsia="Times New Roman" w:cs="Times New Roman"/>
          <w:bCs/>
          <w:szCs w:val="28"/>
          <w:lang w:eastAsia="ru-RU"/>
        </w:rPr>
        <w:t>9)</w:t>
      </w:r>
      <w:r>
        <w:rPr>
          <w:rFonts w:eastAsia="Times New Roman" w:cs="Times New Roman"/>
          <w:bCs/>
          <w:szCs w:val="28"/>
          <w:lang w:eastAsia="ru-RU"/>
        </w:rPr>
        <w:tab/>
        <w:t xml:space="preserve"> </w:t>
      </w:r>
      <w:r w:rsidRPr="004D2872">
        <w:rPr>
          <w:rFonts w:eastAsia="Calibri" w:cs="Times New Roman"/>
          <w:bCs/>
          <w:color w:val="000000"/>
          <w:szCs w:val="28"/>
        </w:rPr>
        <w:t>от 30.09.2024 № 666-VII ДГ «О замене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2025 год и плановый период 2026 – 2027 годов»;</w:t>
      </w:r>
    </w:p>
    <w:p w:rsidR="004D2872" w:rsidRPr="004D2872" w:rsidRDefault="004D2872" w:rsidP="004D2872">
      <w:pPr>
        <w:tabs>
          <w:tab w:val="left" w:pos="1134"/>
        </w:tabs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  <w:r w:rsidRPr="004D2872">
        <w:rPr>
          <w:rFonts w:eastAsia="Calibri" w:cs="Times New Roman"/>
          <w:bCs/>
          <w:color w:val="000000"/>
          <w:szCs w:val="28"/>
        </w:rPr>
        <w:t>10)</w:t>
      </w:r>
      <w:r>
        <w:rPr>
          <w:rFonts w:eastAsia="Calibri" w:cs="Times New Roman"/>
          <w:bCs/>
          <w:color w:val="000000"/>
          <w:szCs w:val="28"/>
        </w:rPr>
        <w:tab/>
        <w:t xml:space="preserve"> </w:t>
      </w:r>
      <w:r w:rsidRPr="004D2872">
        <w:rPr>
          <w:rFonts w:eastAsia="Calibri" w:cs="Times New Roman"/>
          <w:bCs/>
          <w:color w:val="000000"/>
          <w:szCs w:val="28"/>
        </w:rPr>
        <w:t xml:space="preserve">от 27.11.2024 № 698-VII ДГ «Об условиях приватизации муниципального имущества (доля в уставном капитале общества </w:t>
      </w:r>
      <w:r w:rsidRPr="004D2872">
        <w:rPr>
          <w:rFonts w:eastAsia="Calibri" w:cs="Times New Roman"/>
          <w:bCs/>
          <w:color w:val="000000"/>
          <w:szCs w:val="28"/>
        </w:rPr>
        <w:br/>
        <w:t>с ограниченной ответственностью «Западно-Сибирское агентство воздушных сообщений» 100 %)»;</w:t>
      </w:r>
    </w:p>
    <w:p w:rsidR="004D2872" w:rsidRPr="004D2872" w:rsidRDefault="004D2872" w:rsidP="004D2872">
      <w:pPr>
        <w:tabs>
          <w:tab w:val="left" w:pos="1134"/>
        </w:tabs>
        <w:spacing w:line="240" w:lineRule="atLeast"/>
        <w:ind w:right="-1" w:firstLine="709"/>
        <w:rPr>
          <w:rFonts w:eastAsia="Times New Roman" w:cs="Times New Roman"/>
          <w:bCs/>
          <w:szCs w:val="28"/>
          <w:lang w:eastAsia="ru-RU"/>
        </w:rPr>
      </w:pPr>
      <w:r w:rsidRPr="004D2872">
        <w:rPr>
          <w:rFonts w:eastAsia="Calibri" w:cs="Times New Roman"/>
          <w:bCs/>
          <w:color w:val="000000"/>
          <w:szCs w:val="28"/>
        </w:rPr>
        <w:t>11)</w:t>
      </w:r>
      <w:r>
        <w:rPr>
          <w:rFonts w:eastAsia="Calibri" w:cs="Times New Roman"/>
          <w:bCs/>
          <w:color w:val="000000"/>
          <w:szCs w:val="28"/>
        </w:rPr>
        <w:tab/>
        <w:t xml:space="preserve"> </w:t>
      </w:r>
      <w:r w:rsidRPr="004D2872">
        <w:rPr>
          <w:rFonts w:eastAsia="Calibri" w:cs="Times New Roman"/>
          <w:bCs/>
          <w:color w:val="000000"/>
          <w:szCs w:val="28"/>
        </w:rPr>
        <w:t>от 03.12.2024 № 702-VII ДГ «О внесении изменений в Устав муниципального образования городской округ Сургут Ханты-Мансийского автономного округа – Югры».</w:t>
      </w:r>
    </w:p>
    <w:p w:rsidR="004D2872" w:rsidRDefault="004D2872" w:rsidP="004D2872">
      <w:pPr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</w:p>
    <w:p w:rsidR="004D2872" w:rsidRPr="004D2872" w:rsidRDefault="004D2872" w:rsidP="004D2872">
      <w:pPr>
        <w:spacing w:line="240" w:lineRule="atLeast"/>
        <w:ind w:right="-1" w:firstLine="709"/>
        <w:rPr>
          <w:rFonts w:eastAsia="Calibri" w:cs="Times New Roman"/>
          <w:bCs/>
          <w:color w:val="000000"/>
          <w:szCs w:val="28"/>
        </w:rPr>
      </w:pPr>
    </w:p>
    <w:p w:rsidR="004D2872" w:rsidRDefault="004D2872" w:rsidP="004D2872">
      <w:pPr>
        <w:tabs>
          <w:tab w:val="left" w:pos="709"/>
        </w:tabs>
        <w:rPr>
          <w:rFonts w:eastAsia="Calibri" w:cs="Times New Roman"/>
          <w:szCs w:val="28"/>
        </w:rPr>
      </w:pPr>
    </w:p>
    <w:p w:rsidR="004D2872" w:rsidRPr="00B55A96" w:rsidRDefault="004D2872" w:rsidP="004D2872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4D2872" w:rsidRPr="00B55A96" w:rsidRDefault="004D2872" w:rsidP="004D2872">
      <w:pPr>
        <w:rPr>
          <w:szCs w:val="28"/>
        </w:rPr>
      </w:pPr>
    </w:p>
    <w:p w:rsidR="004D2872" w:rsidRPr="007F3370" w:rsidRDefault="004D2872" w:rsidP="004D2872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9E17DA">
        <w:rPr>
          <w:rFonts w:eastAsia="Times New Roman" w:cs="Times New Roman"/>
          <w:szCs w:val="20"/>
          <w:lang w:eastAsia="ru-RU"/>
        </w:rPr>
        <w:t>«</w:t>
      </w:r>
      <w:r w:rsidR="009E17DA">
        <w:rPr>
          <w:rFonts w:eastAsia="Times New Roman" w:cs="Times New Roman"/>
          <w:szCs w:val="20"/>
          <w:u w:val="single"/>
          <w:lang w:eastAsia="ru-RU"/>
        </w:rPr>
        <w:t>02</w:t>
      </w:r>
      <w:r w:rsidR="009E17DA">
        <w:rPr>
          <w:rFonts w:eastAsia="Times New Roman" w:cs="Times New Roman"/>
          <w:szCs w:val="20"/>
          <w:lang w:eastAsia="ru-RU"/>
        </w:rPr>
        <w:t xml:space="preserve">» </w:t>
      </w:r>
      <w:r w:rsidR="009E17DA">
        <w:rPr>
          <w:rFonts w:eastAsia="Times New Roman" w:cs="Times New Roman"/>
          <w:szCs w:val="20"/>
          <w:u w:val="single"/>
          <w:lang w:eastAsia="ru-RU"/>
        </w:rPr>
        <w:t>апреля</w:t>
      </w:r>
      <w:bookmarkStart w:id="0" w:name="_GoBack"/>
      <w:bookmarkEnd w:id="0"/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068D2" w:rsidRDefault="002068D2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068D2" w:rsidRDefault="002068D2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End w:id="1"/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1F" w:rsidRDefault="009B361F" w:rsidP="006757BB">
      <w:r>
        <w:separator/>
      </w:r>
    </w:p>
  </w:endnote>
  <w:endnote w:type="continuationSeparator" w:id="0">
    <w:p w:rsidR="009B361F" w:rsidRDefault="009B361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1F" w:rsidRDefault="009B361F" w:rsidP="006757BB">
      <w:r>
        <w:separator/>
      </w:r>
    </w:p>
  </w:footnote>
  <w:footnote w:type="continuationSeparator" w:id="0">
    <w:p w:rsidR="009B361F" w:rsidRDefault="009B361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113018"/>
      <w:docPartObj>
        <w:docPartGallery w:val="Page Numbers (Top of Page)"/>
        <w:docPartUnique/>
      </w:docPartObj>
    </w:sdtPr>
    <w:sdtEndPr/>
    <w:sdtContent>
      <w:p w:rsidR="004D2872" w:rsidRDefault="004D2872">
        <w:pPr>
          <w:pStyle w:val="ad"/>
          <w:jc w:val="center"/>
        </w:pPr>
        <w:r w:rsidRPr="004D2872">
          <w:rPr>
            <w:sz w:val="20"/>
            <w:szCs w:val="20"/>
          </w:rPr>
          <w:fldChar w:fldCharType="begin"/>
        </w:r>
        <w:r w:rsidRPr="004D2872">
          <w:rPr>
            <w:sz w:val="20"/>
            <w:szCs w:val="20"/>
          </w:rPr>
          <w:instrText>PAGE   \* MERGEFORMAT</w:instrText>
        </w:r>
        <w:r w:rsidRPr="004D2872">
          <w:rPr>
            <w:sz w:val="20"/>
            <w:szCs w:val="20"/>
          </w:rPr>
          <w:fldChar w:fldCharType="separate"/>
        </w:r>
        <w:r w:rsidR="009E17DA">
          <w:rPr>
            <w:noProof/>
            <w:sz w:val="20"/>
            <w:szCs w:val="20"/>
          </w:rPr>
          <w:t>2</w:t>
        </w:r>
        <w:r w:rsidRPr="004D2872">
          <w:rPr>
            <w:sz w:val="20"/>
            <w:szCs w:val="20"/>
          </w:rPr>
          <w:fldChar w:fldCharType="end"/>
        </w:r>
      </w:p>
    </w:sdtContent>
  </w:sdt>
  <w:p w:rsidR="004D2872" w:rsidRDefault="004D287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151F0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D2872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A3FBC"/>
    <w:rsid w:val="009B361F"/>
    <w:rsid w:val="009B65D8"/>
    <w:rsid w:val="009C2B54"/>
    <w:rsid w:val="009C7924"/>
    <w:rsid w:val="009D677F"/>
    <w:rsid w:val="009E17DA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84464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EC580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A6A52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95E85"/>
    <w:rsid w:val="006C2433"/>
    <w:rsid w:val="00764FD1"/>
    <w:rsid w:val="007920C7"/>
    <w:rsid w:val="007B7333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1333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133</cp:revision>
  <cp:lastPrinted>2022-04-05T06:07:00Z</cp:lastPrinted>
  <dcterms:created xsi:type="dcterms:W3CDTF">2021-02-25T07:49:00Z</dcterms:created>
  <dcterms:modified xsi:type="dcterms:W3CDTF">2025-04-02T05:05:00Z</dcterms:modified>
</cp:coreProperties>
</file>